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965FA4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>
        <w:rPr>
          <w:rFonts w:ascii="Trebuchet MS" w:hAnsi="Trebuchet MS" w:cs="Arial"/>
          <w:b/>
        </w:rPr>
        <w:t>PGL LP Nadleśnictwo Kup</w:t>
      </w:r>
    </w:p>
    <w:p w:rsidR="00965FA4" w:rsidRPr="00FF5820" w:rsidRDefault="00965FA4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1 Maja 9, 46-082 Kup</w:t>
      </w:r>
    </w:p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>.: „</w:t>
      </w:r>
      <w:r>
        <w:rPr>
          <w:rFonts w:ascii="Trebuchet MS" w:hAnsi="Trebuchet MS" w:cs="Arial"/>
        </w:rPr>
        <w:t xml:space="preserve">Budowa </w:t>
      </w:r>
      <w:r w:rsidR="00736841">
        <w:rPr>
          <w:rFonts w:ascii="Trebuchet MS" w:hAnsi="Trebuchet MS" w:cs="Arial"/>
        </w:rPr>
        <w:t>drogi leśnej nr 104 w leśnictwie Chróście</w:t>
      </w:r>
      <w:bookmarkStart w:id="0" w:name="_GoBack"/>
      <w:bookmarkEnd w:id="0"/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965FA4" w:rsidRPr="00BF5661" w:rsidRDefault="00965FA4" w:rsidP="00965FA4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965FA4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„Z postępowania o udzielenie zamówienia zamawiający może wykluczyć wykonawcę: 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>
        <w:rPr>
          <w:sz w:val="23"/>
          <w:szCs w:val="23"/>
        </w:rPr>
        <w:t>”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196C95">
        <w:rPr>
          <w:rFonts w:ascii="Trebuchet MS" w:eastAsia="Calibri" w:hAnsi="Trebuchet MS" w:cs="Arial"/>
        </w:rPr>
        <w:t xml:space="preserve"> oraz art. 109 ust. 1 pkt 4</w:t>
      </w:r>
      <w:r>
        <w:rPr>
          <w:rFonts w:ascii="Trebuchet MS" w:eastAsia="Calibri" w:hAnsi="Trebuchet MS" w:cs="Arial"/>
        </w:rPr>
        <w:t xml:space="preserve">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lastRenderedPageBreak/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196C95"/>
    <w:rsid w:val="001F77E2"/>
    <w:rsid w:val="00233B98"/>
    <w:rsid w:val="002F13EF"/>
    <w:rsid w:val="00736841"/>
    <w:rsid w:val="00965FA4"/>
    <w:rsid w:val="00C525EF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979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7</cp:revision>
  <cp:lastPrinted>2021-03-16T08:10:00Z</cp:lastPrinted>
  <dcterms:created xsi:type="dcterms:W3CDTF">2021-03-05T13:28:00Z</dcterms:created>
  <dcterms:modified xsi:type="dcterms:W3CDTF">2021-05-28T10:17:00Z</dcterms:modified>
</cp:coreProperties>
</file>